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Göteborg kommunfullmäktige</w:t>
      </w:r>
    </w:p>
    <w:p>
      <w:pPr>
        <w:pStyle w:val="Heading1"/>
      </w:pPr>
      <w:r>
        <w:t xml:space="preserve">Förenklade regler för startups och innovation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Göteborg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Göteborgs företagsklimat rankas lågt (180/290) enligt Svenskt Näringsliv 2025. Byråkrati hämmar startups i Lindholmen och andra innovationsmiljöer.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Göteborg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”en dörr in”-funktion för nya företag.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halvera handläggningstiden för tillstånd som rör innovation.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skapa ett innovationsråd med näringslivsrepresentanter.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effekter på företagsklimatet årligen.</w:t>
      </w:r>
    </w:p>
    <w:p>
      <w:pPr>
        <w:spacing w:before="360"/>
      </w:pPr>
    </w:p>
    <w:p>
      <w:r>
        <w:t xml:space="preserve">Göteborg,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Göteborg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2026-07-14T03:11:50.219Z</dcterms:created>
  <dcterms:modified xsi:type="dcterms:W3CDTF">2026-07-14T03:11:50.219Z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